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F25267">
              <w:pPr>
                <w:pStyle w:val="Publishwithline"/>
              </w:pP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Modification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for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Yaesu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FTDX9000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F25267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F25267" w:rsidRPr="00F25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WRITE DOWN EVERY SETTING IN THE MENU SYSTEM ON PAPER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because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of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these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settings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lost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'CPU Reset'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Disconnect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radio from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power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accessories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, and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antennas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prior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attempting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modification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Use a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grounded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low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power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thermo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control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soldering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iron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Disassemble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radio by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taking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two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side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panels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and top cover off.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board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need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modify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Control Board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which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mounted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vertically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behind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front panel (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but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not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mounted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on the front panel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assembly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).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mounted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on the chassis.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Loosen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two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screws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holding the front panel to the chassis on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both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sides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Slide the front panel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diagonally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upward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forward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may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able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tilt the front panel down to do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but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careful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not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melt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wiring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The Control Board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has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microprocessor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chip on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which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mounted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diagonally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row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of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JP5001 to JP5012 on the control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board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between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diagonally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mounted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processor and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memory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backup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labeled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with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white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letters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Write down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current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configuration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of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(so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can put the radio back to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original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condition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if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later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desire to do so!!!!!)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For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Japanese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version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JP5004-5006 are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closed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(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pic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below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)</w:t>
            </w:r>
          </w:p>
          <w:p w:rsidR="00F25267" w:rsidRPr="00F25267" w:rsidRDefault="00F25267" w:rsidP="00F25267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1D7E7F28" wp14:editId="47C15316">
                  <wp:extent cx="5238750" cy="3590925"/>
                  <wp:effectExtent l="0" t="0" r="0" b="9525"/>
                  <wp:docPr id="9" name="Immagine 9" descr="Click to view in full siz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 in full siz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For US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version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12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opened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(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pic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below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)</w:t>
            </w:r>
          </w:p>
          <w:p w:rsidR="00F25267" w:rsidRPr="00F25267" w:rsidRDefault="00F25267" w:rsidP="00F25267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18E0E63E" wp14:editId="4D4432AE">
                  <wp:extent cx="5238750" cy="3733800"/>
                  <wp:effectExtent l="0" t="0" r="0" b="0"/>
                  <wp:docPr id="10" name="Immagine 10" descr="Click to view in full siz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to view in full siz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For MARS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modification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add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solder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bridges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JP5007 and JP5011. JP5011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second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from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looking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from the front of the radio.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JP5007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sixth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one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in from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end of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row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of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Make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sure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no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other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soldered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in.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If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any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other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filled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in,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unsolder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bridges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on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them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so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JP5007 and JP5011 are the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only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two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remaining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F25267" w:rsidRPr="00F25267" w:rsidRDefault="00F25267" w:rsidP="00F25267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06EDA1A8" wp14:editId="57F566BA">
                  <wp:extent cx="5238750" cy="3848100"/>
                  <wp:effectExtent l="0" t="0" r="0" b="0"/>
                  <wp:docPr id="11" name="Immagine 11" descr="Click to view in full siz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ck to view in full siz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Reassemble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radio.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Do a Full Reset by holding the "FAST" and "LOCK"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buttons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in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while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pushing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the "POWER"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switch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ON. The radio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go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through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it's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reinitialization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routine.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Check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(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into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dummy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load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) to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if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transmits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out of band.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Reload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all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of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menu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settings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from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where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wrote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them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down, and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enjoy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broadband TX FT9000. Read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licence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check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whether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are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authorized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outside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ham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bands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F25267" w:rsidRPr="00F25267" w:rsidRDefault="00F25267" w:rsidP="00F2526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F25267">
              <w:rPr>
                <w:rFonts w:ascii="Verdana" w:eastAsia="Times New Roman" w:hAnsi="Verdana" w:cs="Times New Roman"/>
                <w:sz w:val="20"/>
              </w:rPr>
              <w:t xml:space="preserve">The TX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range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F25267">
              <w:rPr>
                <w:rFonts w:ascii="Verdana" w:eastAsia="Times New Roman" w:hAnsi="Verdana" w:cs="Times New Roman"/>
                <w:sz w:val="20"/>
              </w:rPr>
              <w:t>now</w:t>
            </w:r>
            <w:proofErr w:type="spellEnd"/>
            <w:r w:rsidRPr="00F25267">
              <w:rPr>
                <w:rFonts w:ascii="Verdana" w:eastAsia="Times New Roman" w:hAnsi="Verdana" w:cs="Times New Roman"/>
                <w:sz w:val="20"/>
              </w:rPr>
              <w:t xml:space="preserve"> 1.8-30Mhz and 50-54Mhz.</w:t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21268"/>
    <w:multiLevelType w:val="multilevel"/>
    <w:tmpl w:val="C54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475AA5"/>
    <w:rsid w:val="00491656"/>
    <w:rsid w:val="005A406C"/>
    <w:rsid w:val="006B34FF"/>
    <w:rsid w:val="00895549"/>
    <w:rsid w:val="00B1737B"/>
    <w:rsid w:val="00CE4C0B"/>
    <w:rsid w:val="00D22576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ods.dk/mod/yaesu/3635_ftdx9000_mars-1.jpg" TargetMode="Externa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ds.dk/mod/yaesu/3635_ftdx9000_mars-3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mods.dk/mod/yaesu/3635_ftdx9000_mars-2.jp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E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Modification for Yaesu FTDX9000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2014-03-29T15:09:00Z</dcterms:created>
  <dcterms:modified xsi:type="dcterms:W3CDTF">2014-03-29T15:09:00Z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